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BA016" w14:textId="77777777" w:rsidR="00E33D56" w:rsidRDefault="00E33D56" w:rsidP="00E33D56">
      <w:pPr>
        <w:jc w:val="center"/>
        <w:rPr>
          <w:rFonts w:cs="Arial"/>
          <w:b/>
          <w:bCs/>
          <w:szCs w:val="20"/>
        </w:rPr>
      </w:pPr>
    </w:p>
    <w:p w14:paraId="0AF9624F" w14:textId="77777777" w:rsidR="00E33D56" w:rsidRPr="004E17FD" w:rsidRDefault="00E33D56" w:rsidP="00671B9C">
      <w:pPr>
        <w:ind w:left="4248"/>
        <w:jc w:val="center"/>
        <w:rPr>
          <w:rFonts w:cs="Arial"/>
          <w:b/>
          <w:bCs/>
          <w:szCs w:val="20"/>
        </w:rPr>
      </w:pPr>
      <w:r w:rsidRPr="004E17FD">
        <w:rPr>
          <w:rFonts w:cs="Arial"/>
          <w:b/>
          <w:bCs/>
          <w:szCs w:val="20"/>
        </w:rPr>
        <w:t>Załącznik nr 3 do Umowy nr ……………..</w:t>
      </w:r>
    </w:p>
    <w:p w14:paraId="1C3D1CFC" w14:textId="77777777" w:rsidR="00E33D56" w:rsidRPr="004E17FD" w:rsidRDefault="00E33D56" w:rsidP="00E33D56">
      <w:pPr>
        <w:jc w:val="center"/>
        <w:rPr>
          <w:rFonts w:cs="Arial"/>
          <w:b/>
          <w:bCs/>
          <w:szCs w:val="20"/>
        </w:rPr>
      </w:pPr>
    </w:p>
    <w:p w14:paraId="6F8DB06F" w14:textId="77777777" w:rsidR="00E33D56" w:rsidRPr="004E17FD" w:rsidRDefault="00E33D56" w:rsidP="00E33D56">
      <w:pPr>
        <w:spacing w:line="276" w:lineRule="auto"/>
        <w:jc w:val="center"/>
        <w:rPr>
          <w:rFonts w:cs="Arial"/>
          <w:b/>
          <w:bCs/>
          <w:szCs w:val="20"/>
        </w:rPr>
      </w:pPr>
      <w:r w:rsidRPr="004E17FD">
        <w:rPr>
          <w:rFonts w:cs="Arial"/>
          <w:b/>
          <w:bCs/>
          <w:szCs w:val="20"/>
        </w:rPr>
        <w:t>WARUNKI PRZYJMOWANIA I OBSŁUGI ZGŁOSZEŃ PODATNOŚCI BEZPIECZEŃSTWA OPROGRAMOWANIA APLIKACYJNEGO</w:t>
      </w:r>
    </w:p>
    <w:p w14:paraId="29B677B4" w14:textId="77777777" w:rsidR="00E33D56" w:rsidRPr="004E17FD" w:rsidRDefault="00E33D56" w:rsidP="00E33D56">
      <w:pPr>
        <w:spacing w:line="276" w:lineRule="auto"/>
        <w:jc w:val="center"/>
        <w:rPr>
          <w:rFonts w:cs="Arial"/>
          <w:b/>
          <w:bCs/>
          <w:szCs w:val="20"/>
        </w:rPr>
      </w:pPr>
    </w:p>
    <w:p w14:paraId="581B0516" w14:textId="77777777" w:rsidR="00E33D56" w:rsidRPr="004E17FD" w:rsidRDefault="00E33D56" w:rsidP="00E33D56">
      <w:pPr>
        <w:spacing w:line="276" w:lineRule="auto"/>
        <w:jc w:val="center"/>
        <w:rPr>
          <w:rFonts w:cs="Arial"/>
          <w:b/>
          <w:bCs/>
          <w:szCs w:val="20"/>
        </w:rPr>
      </w:pPr>
    </w:p>
    <w:p w14:paraId="1F9F0EE3" w14:textId="77777777" w:rsidR="00E33D56" w:rsidRPr="00360561" w:rsidRDefault="00E33D56" w:rsidP="00E33D56">
      <w:pPr>
        <w:pStyle w:val="Akapitzlist"/>
        <w:spacing w:line="276" w:lineRule="auto"/>
        <w:jc w:val="center"/>
        <w:rPr>
          <w:rFonts w:cs="Arial"/>
          <w:b/>
          <w:bCs/>
          <w:szCs w:val="20"/>
        </w:rPr>
      </w:pPr>
      <w:r w:rsidRPr="00360561">
        <w:rPr>
          <w:rFonts w:cs="Arial"/>
          <w:b/>
          <w:bCs/>
          <w:szCs w:val="20"/>
        </w:rPr>
        <w:t>§ 1. Definicje</w:t>
      </w:r>
    </w:p>
    <w:p w14:paraId="340AD18A" w14:textId="77777777" w:rsidR="00E33D56" w:rsidRPr="004E17FD" w:rsidRDefault="00E33D56" w:rsidP="00E33D56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Podatność – słabość potwierdzona przez Wykonawcę w Oprogramowaniu Aplikacyjnym, podlegająca procesowi zarządzania zgodnie z niniejszymi Warunkami.</w:t>
      </w:r>
    </w:p>
    <w:p w14:paraId="1E156204" w14:textId="77777777" w:rsidR="00E33D56" w:rsidRPr="004E17FD" w:rsidRDefault="00E33D56" w:rsidP="00E33D56">
      <w:pPr>
        <w:pStyle w:val="Akapitzlist"/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Klasyfikacja – ocena techniczna i biznesowa ryzyka dokonana przez Wykonawcę na podstawie CVSS.</w:t>
      </w:r>
    </w:p>
    <w:p w14:paraId="355E06D9" w14:textId="77777777" w:rsidR="00E33D56" w:rsidRPr="004E17FD" w:rsidRDefault="00E33D56" w:rsidP="00E33D56">
      <w:pPr>
        <w:pStyle w:val="Akapitzlist"/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Warunki – niniejszy dokument.</w:t>
      </w:r>
    </w:p>
    <w:p w14:paraId="7339930A" w14:textId="77777777" w:rsidR="00E33D56" w:rsidRPr="004E17FD" w:rsidRDefault="00E33D56" w:rsidP="00E33D56">
      <w:pPr>
        <w:spacing w:line="276" w:lineRule="auto"/>
        <w:jc w:val="center"/>
        <w:rPr>
          <w:rFonts w:cs="Arial"/>
          <w:b/>
          <w:bCs/>
          <w:szCs w:val="20"/>
        </w:rPr>
      </w:pPr>
    </w:p>
    <w:p w14:paraId="02CAC92B" w14:textId="77777777" w:rsidR="00E33D56" w:rsidRPr="004E17FD" w:rsidRDefault="00E33D56" w:rsidP="00E33D56">
      <w:pPr>
        <w:spacing w:line="276" w:lineRule="auto"/>
        <w:jc w:val="center"/>
        <w:rPr>
          <w:rFonts w:cs="Arial"/>
          <w:b/>
          <w:bCs/>
          <w:szCs w:val="20"/>
        </w:rPr>
      </w:pPr>
      <w:r w:rsidRPr="004E17FD">
        <w:rPr>
          <w:rFonts w:cs="Arial"/>
          <w:b/>
          <w:bCs/>
          <w:szCs w:val="20"/>
        </w:rPr>
        <w:t>§ 2. Postanowienia ogólne</w:t>
      </w:r>
    </w:p>
    <w:p w14:paraId="389424B4" w14:textId="77777777" w:rsidR="00E33D56" w:rsidRPr="004E17FD" w:rsidRDefault="00E33D56" w:rsidP="00E33D56">
      <w:pPr>
        <w:numPr>
          <w:ilvl w:val="0"/>
          <w:numId w:val="3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Warunki określają zasady przyjmowania i obsługi zgłoszeń podatności bezpieczeństwa dotyczących Oprogramowania Aplikacyjnego.</w:t>
      </w:r>
    </w:p>
    <w:p w14:paraId="2650DC12" w14:textId="77777777" w:rsidR="00E33D56" w:rsidRPr="004E17FD" w:rsidRDefault="00E33D56" w:rsidP="00E33D56">
      <w:pPr>
        <w:numPr>
          <w:ilvl w:val="0"/>
          <w:numId w:val="3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Zamawiający przyjmuje Warunki w całości także poprzez dokonanie zgłoszenia podatności w systemie obsługi zgłoszeń (CHD).</w:t>
      </w:r>
    </w:p>
    <w:p w14:paraId="07175E62" w14:textId="77777777" w:rsidR="00E33D56" w:rsidRPr="004E17FD" w:rsidRDefault="00E33D56" w:rsidP="00E33D56">
      <w:pPr>
        <w:numPr>
          <w:ilvl w:val="0"/>
          <w:numId w:val="3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Wykonawca zastrzega sobie prawo do zmiany Warunków poprzez ich publikację w systemie CHD lub na Portalu Produktowo-Usługowym. Zmienione Warunki obowiązują od dnia publikacji.</w:t>
      </w:r>
    </w:p>
    <w:p w14:paraId="268C7FCA" w14:textId="77777777" w:rsidR="00E33D56" w:rsidRPr="004E17FD" w:rsidRDefault="00E33D56" w:rsidP="00E33D56">
      <w:pPr>
        <w:spacing w:line="276" w:lineRule="auto"/>
        <w:ind w:left="720"/>
        <w:rPr>
          <w:rFonts w:cs="Arial"/>
          <w:szCs w:val="20"/>
        </w:rPr>
      </w:pPr>
    </w:p>
    <w:p w14:paraId="770F25F9" w14:textId="77777777" w:rsidR="00E33D56" w:rsidRPr="004E17FD" w:rsidRDefault="00E33D56" w:rsidP="00E33D56">
      <w:pPr>
        <w:spacing w:line="276" w:lineRule="auto"/>
        <w:jc w:val="center"/>
        <w:rPr>
          <w:rFonts w:cs="Arial"/>
          <w:b/>
          <w:bCs/>
          <w:szCs w:val="20"/>
        </w:rPr>
      </w:pPr>
      <w:r w:rsidRPr="004E17FD">
        <w:rPr>
          <w:rFonts w:cs="Arial"/>
          <w:b/>
          <w:bCs/>
          <w:szCs w:val="20"/>
        </w:rPr>
        <w:t>§ 3. Zasady przyjmowania zgłoszeń</w:t>
      </w:r>
    </w:p>
    <w:p w14:paraId="1B30A723" w14:textId="77777777" w:rsidR="00E33D56" w:rsidRPr="004E17FD" w:rsidRDefault="00E33D56" w:rsidP="00E33D56">
      <w:pPr>
        <w:numPr>
          <w:ilvl w:val="0"/>
          <w:numId w:val="4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Zgłoszenia przyjmowane są wyłącznie poprzez system CHD, w ramach obowiązującej Umowy.</w:t>
      </w:r>
    </w:p>
    <w:p w14:paraId="3488AFEC" w14:textId="77777777" w:rsidR="00E33D56" w:rsidRPr="004E17FD" w:rsidRDefault="00E33D56" w:rsidP="00E33D56">
      <w:pPr>
        <w:numPr>
          <w:ilvl w:val="0"/>
          <w:numId w:val="4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Zgłoszenie powinno zawierać co najmniej:</w:t>
      </w:r>
    </w:p>
    <w:p w14:paraId="7AD1D223" w14:textId="77777777" w:rsidR="00E33D56" w:rsidRPr="004E17FD" w:rsidRDefault="00E33D56" w:rsidP="00E33D56">
      <w:pPr>
        <w:pStyle w:val="Akapitzlist"/>
        <w:numPr>
          <w:ilvl w:val="2"/>
          <w:numId w:val="1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opis zidentyfikowanej podatności,</w:t>
      </w:r>
    </w:p>
    <w:p w14:paraId="5E778E03" w14:textId="77777777" w:rsidR="00E33D56" w:rsidRPr="004E17FD" w:rsidRDefault="00E33D56" w:rsidP="00E33D56">
      <w:pPr>
        <w:pStyle w:val="Akapitzlist"/>
        <w:numPr>
          <w:ilvl w:val="2"/>
          <w:numId w:val="1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wersję Oprogramowania Aplikacyjnego, w której występuje podatność,</w:t>
      </w:r>
    </w:p>
    <w:p w14:paraId="2B8FE853" w14:textId="77777777" w:rsidR="00E33D56" w:rsidRPr="004E17FD" w:rsidRDefault="00E33D56" w:rsidP="00E33D56">
      <w:pPr>
        <w:pStyle w:val="Akapitzlist"/>
        <w:numPr>
          <w:ilvl w:val="2"/>
          <w:numId w:val="1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 xml:space="preserve">ocenę wstępną w skali CVSS wraz z wektorem ataku (Base </w:t>
      </w:r>
      <w:proofErr w:type="spellStart"/>
      <w:r w:rsidRPr="004E17FD">
        <w:rPr>
          <w:rFonts w:cs="Arial"/>
          <w:szCs w:val="20"/>
        </w:rPr>
        <w:t>Score</w:t>
      </w:r>
      <w:proofErr w:type="spellEnd"/>
      <w:r w:rsidRPr="004E17FD">
        <w:rPr>
          <w:rFonts w:cs="Arial"/>
          <w:szCs w:val="20"/>
        </w:rPr>
        <w:t>),</w:t>
      </w:r>
    </w:p>
    <w:p w14:paraId="4AD08CD2" w14:textId="77777777" w:rsidR="00E33D56" w:rsidRPr="004E17FD" w:rsidRDefault="00E33D56" w:rsidP="00E33D56">
      <w:pPr>
        <w:pStyle w:val="Akapitzlist"/>
        <w:numPr>
          <w:ilvl w:val="2"/>
          <w:numId w:val="1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materiał dowodowy umożliwiający odtworzenie podatności (np. logi, zrzuty ekranów, opis kroków),</w:t>
      </w:r>
    </w:p>
    <w:p w14:paraId="3DB737DF" w14:textId="77777777" w:rsidR="00E33D56" w:rsidRPr="004E17FD" w:rsidRDefault="00E33D56" w:rsidP="00E33D56">
      <w:pPr>
        <w:pStyle w:val="Akapitzlist"/>
        <w:numPr>
          <w:ilvl w:val="2"/>
          <w:numId w:val="1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inne istotne informacje, dotyczące zgłaszanej podatności, które wykluczają wystąpienie tej podatności z przyczyn leżących po stronie innej niż Oprogramowanie Aplikacyjne.</w:t>
      </w:r>
    </w:p>
    <w:p w14:paraId="38E728D9" w14:textId="77777777" w:rsidR="00E33D56" w:rsidRPr="004E17FD" w:rsidRDefault="00E33D56" w:rsidP="00E33D56">
      <w:pPr>
        <w:numPr>
          <w:ilvl w:val="0"/>
          <w:numId w:val="4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 xml:space="preserve">Zgłoszenia niekompletne mogą zostać odrzucone lub pozostawione bez rozpoznania do czasu ich uzupełnienia. O odrzuceniu lub pozostawieniu bez rozpoznania Wykonawca informuje Zamawiającego. </w:t>
      </w:r>
    </w:p>
    <w:p w14:paraId="1716E793" w14:textId="77777777" w:rsidR="00E33D56" w:rsidRPr="004E17FD" w:rsidRDefault="00E33D56" w:rsidP="00E33D56">
      <w:pPr>
        <w:spacing w:line="276" w:lineRule="auto"/>
        <w:ind w:left="720"/>
        <w:jc w:val="both"/>
        <w:rPr>
          <w:rFonts w:cs="Arial"/>
          <w:szCs w:val="20"/>
        </w:rPr>
      </w:pPr>
    </w:p>
    <w:p w14:paraId="64BEA49A" w14:textId="77777777" w:rsidR="00E33D56" w:rsidRPr="004E17FD" w:rsidRDefault="00E33D56" w:rsidP="00E33D56">
      <w:pPr>
        <w:spacing w:line="276" w:lineRule="auto"/>
        <w:jc w:val="center"/>
        <w:rPr>
          <w:rFonts w:cs="Arial"/>
          <w:b/>
          <w:bCs/>
          <w:szCs w:val="20"/>
        </w:rPr>
      </w:pPr>
      <w:r w:rsidRPr="004E17FD">
        <w:rPr>
          <w:rFonts w:cs="Arial"/>
          <w:b/>
          <w:bCs/>
          <w:szCs w:val="20"/>
        </w:rPr>
        <w:t>§ 4. Klasyfikacja podatności</w:t>
      </w:r>
    </w:p>
    <w:p w14:paraId="00BD9C9D" w14:textId="77777777" w:rsidR="00E33D56" w:rsidRPr="004E17FD" w:rsidRDefault="00E33D56" w:rsidP="00E33D56">
      <w:pPr>
        <w:numPr>
          <w:ilvl w:val="0"/>
          <w:numId w:val="5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Wykonawca każdorazowo weryfikuje klasyfikację wstępną nadaną przez Zamawiającego zgodnie z systemem CVSS.</w:t>
      </w:r>
    </w:p>
    <w:p w14:paraId="052DDF66" w14:textId="77777777" w:rsidR="00E33D56" w:rsidRPr="004E17FD" w:rsidRDefault="00E33D56" w:rsidP="00E33D56">
      <w:pPr>
        <w:numPr>
          <w:ilvl w:val="0"/>
          <w:numId w:val="5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Wykonawca zastrzega sobie prawo do zmiany wstępnej klasyfikacji, w tym do nadania innej oceny punktowej lub kategorii ważkości (np. krytyczna, wysoka, średnia, niska, fałszywie pozytywna).</w:t>
      </w:r>
    </w:p>
    <w:p w14:paraId="4BDFED8C" w14:textId="77777777" w:rsidR="00E33D56" w:rsidRPr="004E17FD" w:rsidRDefault="00E33D56" w:rsidP="00E33D56">
      <w:pPr>
        <w:numPr>
          <w:ilvl w:val="0"/>
          <w:numId w:val="5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 xml:space="preserve">Za fałszywie pozytywne zgłoszenie uznaje się m.in. wynik niepowtarzalny lub zależny wyłącznie od konfiguracji środowiska Zamawiającego niebędącej częścią </w:t>
      </w:r>
      <w:r w:rsidRPr="004E17FD">
        <w:rPr>
          <w:rFonts w:cs="Arial"/>
          <w:szCs w:val="20"/>
        </w:rPr>
        <w:lastRenderedPageBreak/>
        <w:t>Oprogramowania Aplikacyjnego. Zgłoszenia niepotwierdzone jako podatność przez Wykonawcę są zamykane jako niezasadne.</w:t>
      </w:r>
    </w:p>
    <w:p w14:paraId="68A9009C" w14:textId="77777777" w:rsidR="00E33D56" w:rsidRPr="004E17FD" w:rsidRDefault="00E33D56" w:rsidP="00E33D56">
      <w:pPr>
        <w:numPr>
          <w:ilvl w:val="0"/>
          <w:numId w:val="5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Brak potwierdzenia lub brak zmiany klasyfikacji przez Wykonawcę nie stanowi potwierdzenia oceny Zamawiającego, a jedynie oznacza, że zgłoszenie zostało przyjęte do weryfikacji.</w:t>
      </w:r>
    </w:p>
    <w:p w14:paraId="36895F14" w14:textId="77777777" w:rsidR="00E33D56" w:rsidRPr="004E17FD" w:rsidRDefault="00E33D56" w:rsidP="00E33D56">
      <w:pPr>
        <w:numPr>
          <w:ilvl w:val="0"/>
          <w:numId w:val="5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W przypadku, gdy zmiana klasyfikacji ma istotny wpływ na sposób dalszej obsługi podatności, Wykonawca może poinformować o tym Zamawiającego poprzez system CHD lub publikację komunikatu.</w:t>
      </w:r>
    </w:p>
    <w:p w14:paraId="4F114626" w14:textId="77777777" w:rsidR="00E33D56" w:rsidRPr="004E17FD" w:rsidRDefault="00E33D56" w:rsidP="00E33D56">
      <w:pPr>
        <w:numPr>
          <w:ilvl w:val="0"/>
          <w:numId w:val="5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Zgłoszenie podatności przez Zamawiającego nie ogranicza jego prawa do niezależnego powiadomienia krajowego lub sektorowego zespołu reagowania na incydenty bezpieczeństwa (CSIRT).</w:t>
      </w:r>
    </w:p>
    <w:p w14:paraId="64BD0F5F" w14:textId="77777777" w:rsidR="00E33D56" w:rsidRPr="004E17FD" w:rsidRDefault="00E33D56" w:rsidP="00E33D56">
      <w:pPr>
        <w:spacing w:line="276" w:lineRule="auto"/>
        <w:ind w:left="720"/>
        <w:jc w:val="both"/>
        <w:rPr>
          <w:rFonts w:cs="Arial"/>
          <w:szCs w:val="20"/>
        </w:rPr>
      </w:pPr>
    </w:p>
    <w:p w14:paraId="44039B1C" w14:textId="77777777" w:rsidR="00E33D56" w:rsidRPr="004E17FD" w:rsidRDefault="00E33D56" w:rsidP="00E33D56">
      <w:pPr>
        <w:keepNext/>
        <w:spacing w:line="276" w:lineRule="auto"/>
        <w:jc w:val="center"/>
        <w:rPr>
          <w:rFonts w:cs="Arial"/>
          <w:b/>
          <w:bCs/>
          <w:szCs w:val="20"/>
        </w:rPr>
      </w:pPr>
      <w:r w:rsidRPr="004E17FD">
        <w:rPr>
          <w:rFonts w:cs="Arial"/>
          <w:b/>
          <w:bCs/>
          <w:szCs w:val="20"/>
        </w:rPr>
        <w:t>§ 5. Obsługa podatności</w:t>
      </w:r>
    </w:p>
    <w:p w14:paraId="596254B7" w14:textId="77777777" w:rsidR="00E33D56" w:rsidRPr="004E17FD" w:rsidRDefault="00E33D56" w:rsidP="00E33D56">
      <w:pPr>
        <w:keepNext/>
        <w:numPr>
          <w:ilvl w:val="0"/>
          <w:numId w:val="6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Obsługa zgłoszeń Podatności odbywa się w ramach prac podejmowanych przez Wykonawcę w ramach Umowy.</w:t>
      </w:r>
    </w:p>
    <w:p w14:paraId="2C58DEA0" w14:textId="77777777" w:rsidR="00E33D56" w:rsidRPr="004E17FD" w:rsidRDefault="00E33D56" w:rsidP="00E33D56">
      <w:pPr>
        <w:numPr>
          <w:ilvl w:val="0"/>
          <w:numId w:val="6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Podatności potwierdzone przez Wykonawcę są korygowane, redukowane lub objęte środkami mitygującymi w ramach cyklu rozwoju i utrzymania Oprogramowania Aplikacyjnego.</w:t>
      </w:r>
    </w:p>
    <w:p w14:paraId="68617A69" w14:textId="77777777" w:rsidR="00E33D56" w:rsidRPr="004E17FD" w:rsidRDefault="00E33D56" w:rsidP="00E33D56">
      <w:pPr>
        <w:numPr>
          <w:ilvl w:val="0"/>
          <w:numId w:val="6"/>
        </w:numPr>
        <w:spacing w:line="259" w:lineRule="auto"/>
        <w:ind w:left="714" w:hanging="357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 xml:space="preserve">Wybór sposobu postępowania z podatnością (usunięcie, redukcja, </w:t>
      </w:r>
      <w:proofErr w:type="spellStart"/>
      <w:r w:rsidRPr="004E17FD">
        <w:rPr>
          <w:rFonts w:cs="Arial"/>
          <w:szCs w:val="20"/>
        </w:rPr>
        <w:t>mitygacja</w:t>
      </w:r>
      <w:proofErr w:type="spellEnd"/>
      <w:r w:rsidRPr="004E17FD">
        <w:rPr>
          <w:rFonts w:cs="Arial"/>
          <w:szCs w:val="20"/>
        </w:rPr>
        <w:t>) należy wyłącznie do Wykonawcy. Wykonawca nie gwarantuje możliwości całkowitego wyeliminowania każdej podatności.</w:t>
      </w:r>
    </w:p>
    <w:p w14:paraId="7EA2099F" w14:textId="77777777" w:rsidR="00E33D56" w:rsidRPr="004E17FD" w:rsidRDefault="00E33D56" w:rsidP="00E33D56">
      <w:pPr>
        <w:numPr>
          <w:ilvl w:val="0"/>
          <w:numId w:val="6"/>
        </w:numPr>
        <w:spacing w:line="276" w:lineRule="auto"/>
        <w:ind w:left="714" w:hanging="357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Wykonawca nie udziela odrębnych gwarancji czasowych ani nie wprowadza nowych parametrów SLA w zakresie obsługi zgłoszeń podatności.</w:t>
      </w:r>
    </w:p>
    <w:p w14:paraId="29582627" w14:textId="77777777" w:rsidR="00E33D56" w:rsidRPr="004E17FD" w:rsidRDefault="00E33D56" w:rsidP="00E33D56">
      <w:pPr>
        <w:numPr>
          <w:ilvl w:val="0"/>
          <w:numId w:val="6"/>
        </w:numPr>
        <w:spacing w:line="276" w:lineRule="auto"/>
        <w:ind w:left="714" w:hanging="357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W przypadku Podatności wymagającej głębszej ingerencji w architekturę systemu, Wykonawca może zaproponować rozwiązanie w ramach modyfikacji oprogramowania lub wskazać środki tymczasowe (</w:t>
      </w:r>
      <w:proofErr w:type="spellStart"/>
      <w:r w:rsidRPr="004E17FD">
        <w:rPr>
          <w:rFonts w:cs="Arial"/>
          <w:szCs w:val="20"/>
        </w:rPr>
        <w:t>mitygacyjne</w:t>
      </w:r>
      <w:proofErr w:type="spellEnd"/>
      <w:r w:rsidRPr="004E17FD">
        <w:rPr>
          <w:rFonts w:cs="Arial"/>
          <w:szCs w:val="20"/>
        </w:rPr>
        <w:t>).</w:t>
      </w:r>
    </w:p>
    <w:p w14:paraId="35BC76B8" w14:textId="77777777" w:rsidR="00E33D56" w:rsidRPr="004E17FD" w:rsidRDefault="00E33D56" w:rsidP="00E33D56">
      <w:pPr>
        <w:numPr>
          <w:ilvl w:val="0"/>
          <w:numId w:val="6"/>
        </w:numPr>
        <w:spacing w:line="276" w:lineRule="auto"/>
        <w:ind w:left="714" w:hanging="357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 xml:space="preserve">Zamawiający zobowiązany jest wdrożyć środki mitygujące po stronie swojej infrastruktury zgodnie z komunikatami Wykonawcy. Brak wdrożenia wymaganych </w:t>
      </w:r>
      <w:proofErr w:type="spellStart"/>
      <w:r w:rsidRPr="004E17FD">
        <w:rPr>
          <w:rFonts w:cs="Arial"/>
          <w:szCs w:val="20"/>
        </w:rPr>
        <w:t>mitygacji</w:t>
      </w:r>
      <w:proofErr w:type="spellEnd"/>
      <w:r w:rsidRPr="004E17FD">
        <w:rPr>
          <w:rFonts w:cs="Arial"/>
          <w:szCs w:val="20"/>
        </w:rPr>
        <w:t xml:space="preserve"> może skutkować zmianą klasyfikacji ryzyka po stronie Wykonawcy lub zamknięciem Zgłoszenia.</w:t>
      </w:r>
    </w:p>
    <w:p w14:paraId="1A232E70" w14:textId="77777777" w:rsidR="00E33D56" w:rsidRPr="004E17FD" w:rsidRDefault="00E33D56" w:rsidP="00E33D56">
      <w:pPr>
        <w:numPr>
          <w:ilvl w:val="0"/>
          <w:numId w:val="6"/>
        </w:numPr>
        <w:spacing w:line="276" w:lineRule="auto"/>
        <w:ind w:left="714" w:hanging="357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Zgłoszenia, które po weryfikacji nie potwierdzą istnienia podatności, mogą zostać zamknięte z odpowiednim uzasadnieniem.</w:t>
      </w:r>
    </w:p>
    <w:p w14:paraId="52B93E00" w14:textId="77777777" w:rsidR="00E33D56" w:rsidRPr="004E17FD" w:rsidRDefault="00E33D56" w:rsidP="00E33D56">
      <w:pPr>
        <w:spacing w:line="276" w:lineRule="auto"/>
        <w:ind w:left="720"/>
        <w:jc w:val="both"/>
        <w:rPr>
          <w:rFonts w:cs="Arial"/>
          <w:szCs w:val="20"/>
        </w:rPr>
      </w:pPr>
    </w:p>
    <w:p w14:paraId="278C727F" w14:textId="77777777" w:rsidR="00E33D56" w:rsidRPr="004E17FD" w:rsidRDefault="00E33D56" w:rsidP="00E33D56">
      <w:pPr>
        <w:spacing w:line="276" w:lineRule="auto"/>
        <w:jc w:val="center"/>
        <w:rPr>
          <w:rFonts w:cs="Arial"/>
          <w:b/>
          <w:bCs/>
          <w:szCs w:val="20"/>
        </w:rPr>
      </w:pPr>
      <w:r w:rsidRPr="004E17FD">
        <w:rPr>
          <w:rFonts w:cs="Arial"/>
          <w:b/>
          <w:bCs/>
          <w:szCs w:val="20"/>
        </w:rPr>
        <w:t>§ 6. Informowanie o rozwiązanych podatnościach</w:t>
      </w:r>
    </w:p>
    <w:p w14:paraId="52114C93" w14:textId="77777777" w:rsidR="00E33D56" w:rsidRPr="004E17FD" w:rsidRDefault="00E33D56" w:rsidP="00E33D56">
      <w:pPr>
        <w:numPr>
          <w:ilvl w:val="0"/>
          <w:numId w:val="7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Informacje o usuniętych lub zredukowanych podatnościach, wraz z zaleceniami dotyczącymi zabezpieczenia systemów oraz informacjami o zmianach w Oprogramowaniu Aplikacyjnym, publikowane będą cyklicznie przez Wykonawcę w systemie CHD lub na Portalu Produktowo-Usługowym.</w:t>
      </w:r>
    </w:p>
    <w:p w14:paraId="7CB38674" w14:textId="77777777" w:rsidR="00E33D56" w:rsidRPr="004E17FD" w:rsidRDefault="00E33D56" w:rsidP="00E33D56">
      <w:pPr>
        <w:numPr>
          <w:ilvl w:val="0"/>
          <w:numId w:val="7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Wykonawca może łączyć publikację tych informacji z komunikatami o nowych wersjach Oprogramowania Aplikacyjnego lub poprawkach serwisowych.</w:t>
      </w:r>
    </w:p>
    <w:p w14:paraId="0E3A154B" w14:textId="77777777" w:rsidR="00E33D56" w:rsidRPr="004E17FD" w:rsidRDefault="00E33D56" w:rsidP="00E33D56">
      <w:pPr>
        <w:numPr>
          <w:ilvl w:val="0"/>
          <w:numId w:val="7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Informacje te mogą mieć charakter zbiorczy i nie muszą odnosić się do konkretnych zgłoszeń Zamawiającego.</w:t>
      </w:r>
    </w:p>
    <w:p w14:paraId="654F892E" w14:textId="77777777" w:rsidR="00E33D56" w:rsidRPr="004E17FD" w:rsidRDefault="00E33D56" w:rsidP="00E33D56">
      <w:pPr>
        <w:spacing w:line="276" w:lineRule="auto"/>
        <w:ind w:left="720"/>
        <w:jc w:val="both"/>
        <w:rPr>
          <w:rFonts w:cs="Arial"/>
          <w:szCs w:val="20"/>
        </w:rPr>
      </w:pPr>
    </w:p>
    <w:p w14:paraId="374E869F" w14:textId="77777777" w:rsidR="00E33D56" w:rsidRPr="004E17FD" w:rsidRDefault="00E33D56" w:rsidP="00E33D56">
      <w:pPr>
        <w:spacing w:line="276" w:lineRule="auto"/>
        <w:jc w:val="center"/>
        <w:rPr>
          <w:rFonts w:cs="Arial"/>
          <w:b/>
          <w:bCs/>
          <w:szCs w:val="20"/>
        </w:rPr>
      </w:pPr>
      <w:r w:rsidRPr="004E17FD">
        <w:rPr>
          <w:rFonts w:cs="Arial"/>
          <w:b/>
          <w:bCs/>
          <w:szCs w:val="20"/>
        </w:rPr>
        <w:t>§ 7. Postanowienia końcowe</w:t>
      </w:r>
    </w:p>
    <w:p w14:paraId="5A8F6497" w14:textId="77777777" w:rsidR="00E33D56" w:rsidRPr="004E17FD" w:rsidRDefault="00E33D56" w:rsidP="00E33D56">
      <w:pPr>
        <w:numPr>
          <w:ilvl w:val="0"/>
          <w:numId w:val="8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Niniejsze Warunki nie modyfikują zasad odpowiedzialności stron wynikających z Umowy.</w:t>
      </w:r>
    </w:p>
    <w:p w14:paraId="4A12E519" w14:textId="77777777" w:rsidR="00E33D56" w:rsidRPr="004E17FD" w:rsidRDefault="00E33D56" w:rsidP="00E33D56">
      <w:pPr>
        <w:numPr>
          <w:ilvl w:val="0"/>
          <w:numId w:val="8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 xml:space="preserve">Publikacje dotyczące bezpieczeństwa Oprogramowania Aplikacyjnego (CVE, blogi, </w:t>
      </w:r>
      <w:proofErr w:type="spellStart"/>
      <w:r w:rsidRPr="004E17FD">
        <w:rPr>
          <w:rFonts w:cs="Arial"/>
          <w:szCs w:val="20"/>
        </w:rPr>
        <w:t>advisories</w:t>
      </w:r>
      <w:proofErr w:type="spellEnd"/>
      <w:r w:rsidRPr="004E17FD">
        <w:rPr>
          <w:rFonts w:cs="Arial"/>
          <w:szCs w:val="20"/>
        </w:rPr>
        <w:t>) powinny być realizowane wyłącznie przez Wykonawcę lub za jego pisemną zgodą i po uzgodnieniu treści oraz terminu.</w:t>
      </w:r>
    </w:p>
    <w:p w14:paraId="51EBCDAB" w14:textId="77777777" w:rsidR="00E33D56" w:rsidRPr="004E17FD" w:rsidRDefault="00E33D56" w:rsidP="00E33D56">
      <w:pPr>
        <w:numPr>
          <w:ilvl w:val="0"/>
          <w:numId w:val="8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lastRenderedPageBreak/>
        <w:t>Wszelkie kwestie nieuregulowane niniejszym dokumentem podlegają postanowieniom obowiązującej Umowy.</w:t>
      </w:r>
    </w:p>
    <w:p w14:paraId="5E3DEDF0" w14:textId="77777777" w:rsidR="00E33D56" w:rsidRPr="004E17FD" w:rsidRDefault="00E33D56" w:rsidP="00E33D56">
      <w:pPr>
        <w:numPr>
          <w:ilvl w:val="0"/>
          <w:numId w:val="8"/>
        </w:numPr>
        <w:spacing w:line="276" w:lineRule="auto"/>
        <w:jc w:val="both"/>
        <w:rPr>
          <w:rFonts w:cs="Arial"/>
          <w:szCs w:val="20"/>
        </w:rPr>
      </w:pPr>
      <w:r w:rsidRPr="004E17FD">
        <w:rPr>
          <w:rFonts w:cs="Arial"/>
          <w:szCs w:val="20"/>
        </w:rPr>
        <w:t>W przypadku rozbieżności między Umową a niniejszymi Warunkami, pierwszeństwo mają postanowienia Umowy.</w:t>
      </w:r>
    </w:p>
    <w:p w14:paraId="08DE01B5" w14:textId="77777777" w:rsidR="00E33D56" w:rsidRPr="00995823" w:rsidRDefault="00E33D56" w:rsidP="00E33D56">
      <w:pPr>
        <w:spacing w:line="276" w:lineRule="auto"/>
        <w:rPr>
          <w:szCs w:val="20"/>
        </w:rPr>
      </w:pPr>
    </w:p>
    <w:p w14:paraId="47F43759" w14:textId="77777777" w:rsidR="00E33D56" w:rsidRPr="004E17FD" w:rsidRDefault="00E33D56" w:rsidP="00E33D56">
      <w:pPr>
        <w:rPr>
          <w:rFonts w:cs="Arial"/>
          <w:b/>
          <w:bCs/>
          <w:szCs w:val="20"/>
        </w:rPr>
      </w:pPr>
    </w:p>
    <w:p w14:paraId="7EFC2CD1" w14:textId="77777777" w:rsidR="003D50A2" w:rsidRDefault="003D50A2"/>
    <w:sectPr w:rsidR="003D50A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B82F2" w14:textId="77777777" w:rsidR="00E33D56" w:rsidRDefault="00E33D56" w:rsidP="00E33D56">
      <w:r>
        <w:separator/>
      </w:r>
    </w:p>
  </w:endnote>
  <w:endnote w:type="continuationSeparator" w:id="0">
    <w:p w14:paraId="7D56CAA5" w14:textId="77777777" w:rsidR="00E33D56" w:rsidRDefault="00E33D56" w:rsidP="00E33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30804" w14:textId="77777777" w:rsidR="00E33D56" w:rsidRDefault="00E33D56" w:rsidP="00E33D56">
      <w:r>
        <w:separator/>
      </w:r>
    </w:p>
  </w:footnote>
  <w:footnote w:type="continuationSeparator" w:id="0">
    <w:p w14:paraId="6EE4C3BC" w14:textId="77777777" w:rsidR="00E33D56" w:rsidRDefault="00E33D56" w:rsidP="00E33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56A05" w14:textId="77777777" w:rsidR="00E33D56" w:rsidRDefault="00E33D56">
    <w:pPr>
      <w:pStyle w:val="Nagwek"/>
    </w:pPr>
    <w:r>
      <w:rPr>
        <w:noProof/>
        <w:lang w:eastAsia="pl-PL"/>
      </w:rPr>
      <w:drawing>
        <wp:inline distT="0" distB="0" distL="0" distR="0" wp14:anchorId="2A714853" wp14:editId="56F05AEA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365"/>
    <w:multiLevelType w:val="multilevel"/>
    <w:tmpl w:val="BCE6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7E18E2"/>
    <w:multiLevelType w:val="multilevel"/>
    <w:tmpl w:val="7452E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A64DE2"/>
    <w:multiLevelType w:val="multilevel"/>
    <w:tmpl w:val="4FB68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9C72EE"/>
    <w:multiLevelType w:val="multilevel"/>
    <w:tmpl w:val="D624E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CA5D67"/>
    <w:multiLevelType w:val="multilevel"/>
    <w:tmpl w:val="F7401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87452D"/>
    <w:multiLevelType w:val="multilevel"/>
    <w:tmpl w:val="BCE6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7C2C47"/>
    <w:multiLevelType w:val="multilevel"/>
    <w:tmpl w:val="8BA24AB6"/>
    <w:lvl w:ilvl="0">
      <w:start w:val="1"/>
      <w:numFmt w:val="decimal"/>
      <w:pStyle w:val="ACPTyturozdziau"/>
      <w:lvlText w:val="§ %1."/>
      <w:lvlJc w:val="left"/>
      <w:pPr>
        <w:tabs>
          <w:tab w:val="num" w:pos="851"/>
        </w:tabs>
        <w:ind w:left="0" w:firstLine="0"/>
      </w:pPr>
      <w:rPr>
        <w:rFonts w:ascii="Calibri" w:hAnsi="Calibri" w:cs="Times New Roman" w:hint="default"/>
        <w:b/>
        <w:i w:val="0"/>
        <w:sz w:val="22"/>
        <w:szCs w:val="20"/>
      </w:rPr>
    </w:lvl>
    <w:lvl w:ilvl="1">
      <w:start w:val="1"/>
      <w:numFmt w:val="decimal"/>
      <w:pStyle w:val="ACPTrerozdziau1"/>
      <w:isLgl/>
      <w:lvlText w:val="%2."/>
      <w:lvlJc w:val="left"/>
      <w:pPr>
        <w:ind w:left="567" w:hanging="567"/>
      </w:pPr>
    </w:lvl>
    <w:lvl w:ilvl="2">
      <w:start w:val="1"/>
      <w:numFmt w:val="decimal"/>
      <w:pStyle w:val="ACPTrerozdziau2"/>
      <w:isLgl/>
      <w:lvlText w:val="%2.%3"/>
      <w:lvlJc w:val="right"/>
      <w:pPr>
        <w:ind w:left="907" w:hanging="170"/>
      </w:pPr>
    </w:lvl>
    <w:lvl w:ilvl="3">
      <w:start w:val="1"/>
      <w:numFmt w:val="lowerLetter"/>
      <w:lvlRestart w:val="2"/>
      <w:pStyle w:val="ACPListaabc-poziom1"/>
      <w:lvlText w:val="%4."/>
      <w:lvlJc w:val="left"/>
      <w:pPr>
        <w:ind w:left="907" w:hanging="283"/>
      </w:pPr>
    </w:lvl>
    <w:lvl w:ilvl="4">
      <w:start w:val="1"/>
      <w:numFmt w:val="lowerLetter"/>
      <w:pStyle w:val="ACPListaabc-poziom2"/>
      <w:lvlText w:val="%5."/>
      <w:lvlJc w:val="left"/>
      <w:pPr>
        <w:ind w:left="1247" w:hanging="283"/>
      </w:pPr>
    </w:lvl>
    <w:lvl w:ilvl="5">
      <w:start w:val="1"/>
      <w:numFmt w:val="lowerRoman"/>
      <w:lvlText w:val="%6."/>
      <w:lvlJc w:val="right"/>
      <w:pPr>
        <w:ind w:left="5341" w:hanging="180"/>
      </w:pPr>
    </w:lvl>
    <w:lvl w:ilvl="6">
      <w:start w:val="1"/>
      <w:numFmt w:val="decimal"/>
      <w:lvlText w:val="%7."/>
      <w:lvlJc w:val="left"/>
      <w:pPr>
        <w:ind w:left="6061" w:hanging="360"/>
      </w:pPr>
    </w:lvl>
    <w:lvl w:ilvl="7">
      <w:start w:val="1"/>
      <w:numFmt w:val="lowerLetter"/>
      <w:lvlText w:val="%8."/>
      <w:lvlJc w:val="left"/>
      <w:pPr>
        <w:ind w:left="6781" w:hanging="360"/>
      </w:pPr>
    </w:lvl>
    <w:lvl w:ilvl="8">
      <w:start w:val="1"/>
      <w:numFmt w:val="lowerRoman"/>
      <w:lvlText w:val="%9."/>
      <w:lvlJc w:val="right"/>
      <w:pPr>
        <w:ind w:left="7501" w:hanging="180"/>
      </w:pPr>
    </w:lvl>
  </w:abstractNum>
  <w:abstractNum w:abstractNumId="7" w15:restartNumberingAfterBreak="0">
    <w:nsid w:val="4D4A480E"/>
    <w:multiLevelType w:val="multilevel"/>
    <w:tmpl w:val="BFD84964"/>
    <w:lvl w:ilvl="0">
      <w:start w:val="1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Bookman Old Style" w:hAnsi="Bookman Old Style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361"/>
        </w:tabs>
        <w:ind w:left="1361" w:hanging="681"/>
      </w:pPr>
      <w:rPr>
        <w:rFonts w:ascii="Verdana" w:eastAsia="Times New Roman" w:hAnsi="Verdana" w:cs="Times New Roman" w:hint="default"/>
        <w:b w:val="0"/>
        <w:i w:val="0"/>
        <w:sz w:val="20"/>
      </w:rPr>
    </w:lvl>
    <w:lvl w:ilvl="3">
      <w:start w:val="1"/>
      <w:numFmt w:val="bullet"/>
      <w:lvlText w:val="-"/>
      <w:lvlJc w:val="left"/>
      <w:pPr>
        <w:tabs>
          <w:tab w:val="num" w:pos="1928"/>
        </w:tabs>
        <w:ind w:left="1928" w:hanging="567"/>
      </w:pPr>
      <w:rPr>
        <w:rFonts w:ascii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727F378B"/>
    <w:multiLevelType w:val="multilevel"/>
    <w:tmpl w:val="41E45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3674487">
    <w:abstractNumId w:val="7"/>
  </w:num>
  <w:num w:numId="2" w16cid:durableId="7971425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1769466">
    <w:abstractNumId w:val="0"/>
  </w:num>
  <w:num w:numId="4" w16cid:durableId="329450850">
    <w:abstractNumId w:val="8"/>
  </w:num>
  <w:num w:numId="5" w16cid:durableId="626929579">
    <w:abstractNumId w:val="1"/>
  </w:num>
  <w:num w:numId="6" w16cid:durableId="1632858466">
    <w:abstractNumId w:val="3"/>
  </w:num>
  <w:num w:numId="7" w16cid:durableId="1986544052">
    <w:abstractNumId w:val="2"/>
  </w:num>
  <w:num w:numId="8" w16cid:durableId="290064446">
    <w:abstractNumId w:val="4"/>
  </w:num>
  <w:num w:numId="9" w16cid:durableId="1594657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D56"/>
    <w:rsid w:val="00360561"/>
    <w:rsid w:val="003D50A2"/>
    <w:rsid w:val="005E3E46"/>
    <w:rsid w:val="00671B9C"/>
    <w:rsid w:val="00E3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912CFA"/>
  <w15:chartTrackingRefBased/>
  <w15:docId w15:val="{6898F4BE-3EE6-49BC-BD3F-69C0B3C9C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D56"/>
    <w:pPr>
      <w:spacing w:after="0" w:line="240" w:lineRule="auto"/>
    </w:pPr>
    <w:rPr>
      <w:rFonts w:ascii="Verdana" w:eastAsia="Calibri" w:hAnsi="Verdana" w:cs="Times New Roman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CPTrerozdziau1">
    <w:name w:val="ACP.Treść rozdziału 1"/>
    <w:basedOn w:val="Normalny"/>
    <w:uiPriority w:val="1"/>
    <w:qFormat/>
    <w:rsid w:val="00E33D56"/>
    <w:pPr>
      <w:numPr>
        <w:ilvl w:val="1"/>
        <w:numId w:val="2"/>
      </w:numPr>
      <w:spacing w:after="60"/>
      <w:jc w:val="both"/>
    </w:pPr>
    <w:rPr>
      <w:rFonts w:ascii="Calibri" w:eastAsiaTheme="minorEastAsia" w:hAnsi="Calibri" w:cstheme="minorBidi"/>
      <w:sz w:val="22"/>
      <w:lang w:eastAsia="pl-PL"/>
    </w:rPr>
  </w:style>
  <w:style w:type="paragraph" w:customStyle="1" w:styleId="ACPTrerozdziau2">
    <w:name w:val="ACP.Treść rozdziału 2"/>
    <w:basedOn w:val="Normalny"/>
    <w:uiPriority w:val="2"/>
    <w:qFormat/>
    <w:rsid w:val="00E33D56"/>
    <w:pPr>
      <w:numPr>
        <w:ilvl w:val="2"/>
        <w:numId w:val="2"/>
      </w:numPr>
      <w:spacing w:after="60"/>
      <w:jc w:val="both"/>
    </w:pPr>
    <w:rPr>
      <w:rFonts w:ascii="Calibri" w:eastAsiaTheme="minorEastAsia" w:hAnsi="Calibri" w:cstheme="minorBidi"/>
      <w:sz w:val="22"/>
      <w:lang w:eastAsia="pl-PL"/>
    </w:rPr>
  </w:style>
  <w:style w:type="paragraph" w:customStyle="1" w:styleId="ACPListaabc-poziom1">
    <w:name w:val="ACP.Lista abc - poziom 1"/>
    <w:basedOn w:val="Normalny"/>
    <w:uiPriority w:val="3"/>
    <w:qFormat/>
    <w:rsid w:val="00E33D56"/>
    <w:pPr>
      <w:numPr>
        <w:ilvl w:val="3"/>
        <w:numId w:val="2"/>
      </w:numPr>
      <w:spacing w:after="60"/>
      <w:jc w:val="both"/>
    </w:pPr>
    <w:rPr>
      <w:rFonts w:ascii="Calibri" w:eastAsiaTheme="minorEastAsia" w:hAnsi="Calibri" w:cstheme="minorBidi"/>
      <w:sz w:val="22"/>
      <w:lang w:eastAsia="pl-PL"/>
    </w:rPr>
  </w:style>
  <w:style w:type="paragraph" w:customStyle="1" w:styleId="ACPListaabc-poziom2">
    <w:name w:val="ACP.Lista abc - poziom 2"/>
    <w:basedOn w:val="Normalny"/>
    <w:uiPriority w:val="4"/>
    <w:qFormat/>
    <w:rsid w:val="00E33D56"/>
    <w:pPr>
      <w:numPr>
        <w:ilvl w:val="4"/>
        <w:numId w:val="2"/>
      </w:numPr>
      <w:spacing w:after="60"/>
      <w:jc w:val="both"/>
    </w:pPr>
    <w:rPr>
      <w:rFonts w:ascii="Calibri" w:eastAsiaTheme="minorEastAsia" w:hAnsi="Calibri" w:cstheme="minorBidi"/>
      <w:sz w:val="22"/>
      <w:lang w:eastAsia="pl-PL"/>
    </w:rPr>
  </w:style>
  <w:style w:type="paragraph" w:customStyle="1" w:styleId="ACPTyturozdziau">
    <w:name w:val="ACP.Tytuł rozdziału"/>
    <w:basedOn w:val="Normalny"/>
    <w:next w:val="ACPTrerozdziau1"/>
    <w:qFormat/>
    <w:rsid w:val="00E33D56"/>
    <w:pPr>
      <w:keepNext/>
      <w:numPr>
        <w:numId w:val="2"/>
      </w:numPr>
      <w:spacing w:before="200" w:after="200"/>
    </w:pPr>
    <w:rPr>
      <w:rFonts w:ascii="Calibri" w:eastAsiaTheme="minorEastAsia" w:hAnsi="Calibri" w:cstheme="minorBidi"/>
      <w:b/>
      <w:bCs/>
      <w:caps/>
      <w:color w:val="000000" w:themeColor="text1"/>
      <w:sz w:val="22"/>
      <w:lang w:eastAsia="pl-PL"/>
    </w:rPr>
  </w:style>
  <w:style w:type="paragraph" w:styleId="Akapitzlist">
    <w:name w:val="List Paragraph"/>
    <w:basedOn w:val="Normalny"/>
    <w:uiPriority w:val="34"/>
    <w:qFormat/>
    <w:rsid w:val="00E33D5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33D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3D56"/>
    <w:rPr>
      <w:rFonts w:ascii="Verdana" w:eastAsia="Calibri" w:hAnsi="Verdana" w:cs="Times New Roman"/>
      <w:sz w:val="20"/>
    </w:rPr>
  </w:style>
  <w:style w:type="paragraph" w:styleId="Stopka">
    <w:name w:val="footer"/>
    <w:basedOn w:val="Normalny"/>
    <w:link w:val="StopkaZnak"/>
    <w:uiPriority w:val="99"/>
    <w:unhideWhenUsed/>
    <w:rsid w:val="00E33D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3D56"/>
    <w:rPr>
      <w:rFonts w:ascii="Verdana" w:eastAsia="Calibri" w:hAnsi="Verdana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721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Głowacz</dc:creator>
  <cp:keywords/>
  <dc:description/>
  <cp:lastModifiedBy>Marianna Maj</cp:lastModifiedBy>
  <cp:revision>3</cp:revision>
  <dcterms:created xsi:type="dcterms:W3CDTF">2026-02-06T12:33:00Z</dcterms:created>
  <dcterms:modified xsi:type="dcterms:W3CDTF">2026-02-09T11:11:00Z</dcterms:modified>
</cp:coreProperties>
</file>